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622C" w:rsidRDefault="005C2C7B">
      <w:r>
        <w:rPr>
          <w:noProof/>
        </w:rPr>
        <w:drawing>
          <wp:inline distT="0" distB="0" distL="0" distR="0" wp14:anchorId="65A9D288" wp14:editId="1ACB5C30">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tbl>
      <w:tblPr>
        <w:tblW w:w="5000" w:type="pct"/>
        <w:jc w:val="center"/>
        <w:shd w:val="clear" w:color="auto" w:fill="DDE2E6"/>
        <w:tblCellMar>
          <w:left w:w="0" w:type="dxa"/>
          <w:right w:w="0" w:type="dxa"/>
        </w:tblCellMar>
        <w:tblLook w:val="04A0" w:firstRow="1" w:lastRow="0" w:firstColumn="1" w:lastColumn="0" w:noHBand="0" w:noVBand="1"/>
      </w:tblPr>
      <w:tblGrid>
        <w:gridCol w:w="9360"/>
      </w:tblGrid>
      <w:tr w:rsidR="005F2140" w:rsidRPr="005F2140" w:rsidTr="005F2140">
        <w:trPr>
          <w:jc w:val="center"/>
        </w:trPr>
        <w:tc>
          <w:tcPr>
            <w:tcW w:w="0" w:type="auto"/>
            <w:shd w:val="clear" w:color="auto" w:fill="DDE2E6"/>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F2140" w:rsidRPr="005F2140">
              <w:tc>
                <w:tcPr>
                  <w:tcW w:w="0" w:type="auto"/>
                  <w:vAlign w:val="center"/>
                  <w:hideMark/>
                </w:tcPr>
                <w:tbl>
                  <w:tblPr>
                    <w:tblW w:w="5000" w:type="pct"/>
                    <w:tblCellMar>
                      <w:left w:w="0" w:type="dxa"/>
                      <w:right w:w="0" w:type="dxa"/>
                    </w:tblCellMar>
                    <w:tblLook w:val="04A0" w:firstRow="1" w:lastRow="0" w:firstColumn="1" w:lastColumn="0" w:noHBand="0" w:noVBand="1"/>
                  </w:tblPr>
                  <w:tblGrid>
                    <w:gridCol w:w="9360"/>
                  </w:tblGrid>
                  <w:tr w:rsidR="005F2140" w:rsidRPr="005F2140">
                    <w:tc>
                      <w:tcPr>
                        <w:tcW w:w="0" w:type="auto"/>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8910"/>
                        </w:tblGrid>
                        <w:tr w:rsidR="005F2140" w:rsidRPr="005F2140">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910"/>
                              </w:tblGrid>
                              <w:tr w:rsidR="005F2140" w:rsidRPr="005F2140">
                                <w:trPr>
                                  <w:jc w:val="center"/>
                                </w:trPr>
                                <w:tc>
                                  <w:tcPr>
                                    <w:tcW w:w="0" w:type="auto"/>
                                    <w:tcMar>
                                      <w:top w:w="90" w:type="dxa"/>
                                      <w:left w:w="0" w:type="dxa"/>
                                      <w:bottom w:w="90" w:type="dxa"/>
                                      <w:right w:w="0" w:type="dxa"/>
                                    </w:tcMar>
                                    <w:vAlign w:val="center"/>
                                    <w:hideMark/>
                                  </w:tcPr>
                                  <w:p w:rsidR="005F2140" w:rsidRPr="005F2140" w:rsidRDefault="005F2140" w:rsidP="005F2140">
                                    <w:pPr>
                                      <w:spacing w:after="0" w:line="300" w:lineRule="atLeast"/>
                                      <w:rPr>
                                        <w:rFonts w:ascii="Arial" w:eastAsia="Times New Roman" w:hAnsi="Arial" w:cs="Arial"/>
                                        <w:color w:val="273F69"/>
                                        <w:kern w:val="0"/>
                                        <w:sz w:val="24"/>
                                        <w:szCs w:val="24"/>
                                        <w14:ligatures w14:val="none"/>
                                      </w:rPr>
                                    </w:pPr>
                                    <w:r w:rsidRPr="005F2140">
                                      <w:rPr>
                                        <w:rFonts w:ascii="Arial" w:eastAsia="Times New Roman" w:hAnsi="Arial" w:cs="Arial"/>
                                        <w:color w:val="273F69"/>
                                        <w:kern w:val="0"/>
                                        <w:sz w:val="24"/>
                                        <w:szCs w:val="24"/>
                                        <w14:ligatures w14:val="none"/>
                                      </w:rPr>
                                      <w:t>Join us at this year's National Fallen Firefighter's Foundation </w:t>
                                    </w:r>
                                    <w:hyperlink r:id="rId6" w:history="1">
                                      <w:r w:rsidRPr="005F2140">
                                        <w:rPr>
                                          <w:rStyle w:val="Hyperlink"/>
                                          <w:rFonts w:ascii="Arial" w:eastAsia="Times New Roman" w:hAnsi="Arial" w:cs="Arial"/>
                                          <w:b/>
                                          <w:bCs/>
                                          <w:kern w:val="0"/>
                                          <w:sz w:val="24"/>
                                          <w:szCs w:val="24"/>
                                          <w14:ligatures w14:val="none"/>
                                        </w:rPr>
                                        <w:t>2023 High School Fire &amp; EMS Cadet Program Symposium</w:t>
                                      </w:r>
                                    </w:hyperlink>
                                    <w:r w:rsidRPr="005F2140">
                                      <w:rPr>
                                        <w:rFonts w:ascii="Arial" w:eastAsia="Times New Roman" w:hAnsi="Arial" w:cs="Arial"/>
                                        <w:color w:val="273F69"/>
                                        <w:kern w:val="0"/>
                                        <w:sz w:val="24"/>
                                        <w:szCs w:val="24"/>
                                        <w14:ligatures w14:val="none"/>
                                      </w:rPr>
                                      <w:t> on July 22, 2023. Learn from and be among colleagues specifically interested in sharing general information and effective practices with their peers from across the nation.</w:t>
                                    </w:r>
                                  </w:p>
                                </w:tc>
                              </w:tr>
                              <w:tr w:rsidR="005F2140" w:rsidRPr="005F2140">
                                <w:trPr>
                                  <w:jc w:val="center"/>
                                </w:trPr>
                                <w:tc>
                                  <w:tcPr>
                                    <w:tcW w:w="0" w:type="auto"/>
                                    <w:tcMar>
                                      <w:top w:w="90" w:type="dxa"/>
                                      <w:left w:w="0" w:type="dxa"/>
                                      <w:bottom w:w="90" w:type="dxa"/>
                                      <w:right w:w="0" w:type="dxa"/>
                                    </w:tcMar>
                                    <w:vAlign w:val="center"/>
                                    <w:hideMark/>
                                  </w:tcPr>
                                  <w:p w:rsidR="005F2140" w:rsidRPr="005F2140" w:rsidRDefault="005F2140" w:rsidP="005F2140">
                                    <w:pPr>
                                      <w:spacing w:after="0" w:line="300" w:lineRule="atLeast"/>
                                      <w:rPr>
                                        <w:rFonts w:ascii="Arial" w:eastAsia="Times New Roman" w:hAnsi="Arial" w:cs="Arial"/>
                                        <w:color w:val="273F69"/>
                                        <w:kern w:val="0"/>
                                        <w:sz w:val="24"/>
                                        <w:szCs w:val="24"/>
                                        <w14:ligatures w14:val="none"/>
                                      </w:rPr>
                                    </w:pPr>
                                    <w:r w:rsidRPr="005F2140">
                                      <w:rPr>
                                        <w:rFonts w:ascii="Arial" w:eastAsia="Times New Roman" w:hAnsi="Arial" w:cs="Arial"/>
                                        <w:color w:val="273F69"/>
                                        <w:kern w:val="0"/>
                                        <w:sz w:val="24"/>
                                        <w:szCs w:val="24"/>
                                        <w14:ligatures w14:val="none"/>
                                      </w:rPr>
                                      <w:t>This is the 4</w:t>
                                    </w:r>
                                    <w:r w:rsidRPr="005F2140">
                                      <w:rPr>
                                        <w:rFonts w:ascii="Arial" w:eastAsia="Times New Roman" w:hAnsi="Arial" w:cs="Arial"/>
                                        <w:color w:val="273F69"/>
                                        <w:kern w:val="0"/>
                                        <w:sz w:val="24"/>
                                        <w:szCs w:val="24"/>
                                        <w:vertAlign w:val="superscript"/>
                                        <w14:ligatures w14:val="none"/>
                                      </w:rPr>
                                      <w:t>th</w:t>
                                    </w:r>
                                    <w:r w:rsidRPr="005F2140">
                                      <w:rPr>
                                        <w:rFonts w:ascii="Arial" w:eastAsia="Times New Roman" w:hAnsi="Arial" w:cs="Arial"/>
                                        <w:color w:val="273F69"/>
                                        <w:kern w:val="0"/>
                                        <w:sz w:val="24"/>
                                        <w:szCs w:val="24"/>
                                        <w14:ligatures w14:val="none"/>
                                      </w:rPr>
                                      <w:t> event in a series dating back to 2019. Stakeholders from 22 states and the District of Columbia have joined us in the past, spending two days learning from and networking with learning professionals, subject matter experts, and leaders of successful programs. Outcomes were impressive:</w:t>
                                    </w:r>
                                  </w:p>
                                </w:tc>
                              </w:tr>
                              <w:tr w:rsidR="005F2140" w:rsidRPr="005F2140">
                                <w:trPr>
                                  <w:jc w:val="center"/>
                                </w:trPr>
                                <w:tc>
                                  <w:tcPr>
                                    <w:tcW w:w="0" w:type="auto"/>
                                    <w:tcMar>
                                      <w:top w:w="90" w:type="dxa"/>
                                      <w:left w:w="0" w:type="dxa"/>
                                      <w:bottom w:w="90" w:type="dxa"/>
                                      <w:right w:w="0" w:type="dxa"/>
                                    </w:tcMar>
                                    <w:vAlign w:val="center"/>
                                    <w:hideMark/>
                                  </w:tcPr>
                                  <w:p w:rsidR="005F2140" w:rsidRPr="005F2140" w:rsidRDefault="005F2140" w:rsidP="005F2140">
                                    <w:pPr>
                                      <w:numPr>
                                        <w:ilvl w:val="0"/>
                                        <w:numId w:val="1"/>
                                      </w:numPr>
                                      <w:spacing w:before="100" w:beforeAutospacing="1" w:after="100" w:afterAutospacing="1" w:line="300" w:lineRule="atLeast"/>
                                      <w:rPr>
                                        <w:rFonts w:ascii="Arial" w:eastAsia="Times New Roman" w:hAnsi="Arial" w:cs="Arial"/>
                                        <w:color w:val="273F69"/>
                                        <w:kern w:val="0"/>
                                        <w:sz w:val="24"/>
                                        <w:szCs w:val="24"/>
                                        <w14:ligatures w14:val="none"/>
                                      </w:rPr>
                                    </w:pPr>
                                    <w:r w:rsidRPr="005F2140">
                                      <w:rPr>
                                        <w:rFonts w:ascii="Arial" w:eastAsia="Times New Roman" w:hAnsi="Arial" w:cs="Arial"/>
                                        <w:color w:val="273F69"/>
                                        <w:kern w:val="0"/>
                                        <w:sz w:val="24"/>
                                        <w:szCs w:val="24"/>
                                        <w14:ligatures w14:val="none"/>
                                      </w:rPr>
                                      <w:t>100% of attendees agreed that the symposium provided them with tools, resources, and best practices that could be put to use in their current program.</w:t>
                                    </w:r>
                                  </w:p>
                                  <w:p w:rsidR="005F2140" w:rsidRPr="005F2140" w:rsidRDefault="005F2140" w:rsidP="005F2140">
                                    <w:pPr>
                                      <w:numPr>
                                        <w:ilvl w:val="0"/>
                                        <w:numId w:val="1"/>
                                      </w:numPr>
                                      <w:spacing w:before="100" w:beforeAutospacing="1" w:after="100" w:afterAutospacing="1" w:line="300" w:lineRule="atLeast"/>
                                      <w:rPr>
                                        <w:rFonts w:ascii="Arial" w:eastAsia="Times New Roman" w:hAnsi="Arial" w:cs="Arial"/>
                                        <w:color w:val="273F69"/>
                                        <w:kern w:val="0"/>
                                        <w:sz w:val="24"/>
                                        <w:szCs w:val="24"/>
                                        <w14:ligatures w14:val="none"/>
                                      </w:rPr>
                                    </w:pPr>
                                    <w:r w:rsidRPr="005F2140">
                                      <w:rPr>
                                        <w:rFonts w:ascii="Arial" w:eastAsia="Times New Roman" w:hAnsi="Arial" w:cs="Arial"/>
                                        <w:color w:val="273F69"/>
                                        <w:kern w:val="0"/>
                                        <w:sz w:val="24"/>
                                        <w:szCs w:val="24"/>
                                        <w14:ligatures w14:val="none"/>
                                      </w:rPr>
                                      <w:t>100% said the event provided a networking opportunity that enabled them to meet and interact with their peers.</w:t>
                                    </w:r>
                                  </w:p>
                                  <w:p w:rsidR="005F2140" w:rsidRPr="005F2140" w:rsidRDefault="005F2140" w:rsidP="005F2140">
                                    <w:pPr>
                                      <w:numPr>
                                        <w:ilvl w:val="0"/>
                                        <w:numId w:val="1"/>
                                      </w:numPr>
                                      <w:spacing w:before="100" w:beforeAutospacing="1" w:after="100" w:afterAutospacing="1" w:line="300" w:lineRule="atLeast"/>
                                      <w:rPr>
                                        <w:rFonts w:ascii="Arial" w:eastAsia="Times New Roman" w:hAnsi="Arial" w:cs="Arial"/>
                                        <w:color w:val="273F69"/>
                                        <w:kern w:val="0"/>
                                        <w:sz w:val="24"/>
                                        <w:szCs w:val="24"/>
                                        <w14:ligatures w14:val="none"/>
                                      </w:rPr>
                                    </w:pPr>
                                    <w:r w:rsidRPr="005F2140">
                                      <w:rPr>
                                        <w:rFonts w:ascii="Arial" w:eastAsia="Times New Roman" w:hAnsi="Arial" w:cs="Arial"/>
                                        <w:color w:val="273F69"/>
                                        <w:kern w:val="0"/>
                                        <w:sz w:val="24"/>
                                        <w:szCs w:val="24"/>
                                        <w14:ligatures w14:val="none"/>
                                      </w:rPr>
                                      <w:t>100% planned to continue engagement with fellow attendees (via the group's social page, direct communication, or other means) to share ideas and best practices.</w:t>
                                    </w:r>
                                  </w:p>
                                </w:tc>
                              </w:tr>
                              <w:tr w:rsidR="005F2140" w:rsidRPr="005F2140">
                                <w:trPr>
                                  <w:jc w:val="center"/>
                                </w:trPr>
                                <w:tc>
                                  <w:tcPr>
                                    <w:tcW w:w="0" w:type="auto"/>
                                    <w:tcMar>
                                      <w:top w:w="90" w:type="dxa"/>
                                      <w:left w:w="0" w:type="dxa"/>
                                      <w:bottom w:w="90" w:type="dxa"/>
                                      <w:right w:w="0" w:type="dxa"/>
                                    </w:tcMar>
                                    <w:vAlign w:val="center"/>
                                    <w:hideMark/>
                                  </w:tcPr>
                                  <w:p w:rsidR="005F2140" w:rsidRPr="005F2140" w:rsidRDefault="005F2140" w:rsidP="005F2140">
                                    <w:pPr>
                                      <w:spacing w:after="0" w:line="300" w:lineRule="atLeast"/>
                                      <w:rPr>
                                        <w:rFonts w:ascii="Arial" w:eastAsia="Times New Roman" w:hAnsi="Arial" w:cs="Arial"/>
                                        <w:color w:val="273F69"/>
                                        <w:kern w:val="0"/>
                                        <w:sz w:val="24"/>
                                        <w:szCs w:val="24"/>
                                        <w14:ligatures w14:val="none"/>
                                      </w:rPr>
                                    </w:pPr>
                                    <w:r w:rsidRPr="005F2140">
                                      <w:rPr>
                                        <w:rFonts w:ascii="Arial" w:eastAsia="Times New Roman" w:hAnsi="Arial" w:cs="Arial"/>
                                        <w:color w:val="273F69"/>
                                        <w:kern w:val="0"/>
                                        <w:sz w:val="24"/>
                                        <w:szCs w:val="24"/>
                                        <w14:ligatures w14:val="none"/>
                                      </w:rPr>
                                      <w:t>The NFFF is now taking this event to Detroit, Michigan. There is </w:t>
                                    </w:r>
                                    <w:r w:rsidRPr="005F2140">
                                      <w:rPr>
                                        <w:rFonts w:ascii="Arial" w:eastAsia="Times New Roman" w:hAnsi="Arial" w:cs="Arial"/>
                                        <w:b/>
                                        <w:bCs/>
                                        <w:color w:val="273F69"/>
                                        <w:kern w:val="0"/>
                                        <w:sz w:val="24"/>
                                        <w:szCs w:val="24"/>
                                        <w14:ligatures w14:val="none"/>
                                      </w:rPr>
                                      <w:t>no registration fee to attend</w:t>
                                    </w:r>
                                    <w:r w:rsidRPr="005F2140">
                                      <w:rPr>
                                        <w:rFonts w:ascii="Arial" w:eastAsia="Times New Roman" w:hAnsi="Arial" w:cs="Arial"/>
                                        <w:color w:val="273F69"/>
                                        <w:kern w:val="0"/>
                                        <w:sz w:val="24"/>
                                        <w:szCs w:val="24"/>
                                        <w14:ligatures w14:val="none"/>
                                      </w:rPr>
                                      <w:t>!</w:t>
                                    </w:r>
                                  </w:p>
                                </w:tc>
                              </w:tr>
                              <w:tr w:rsidR="005F2140" w:rsidRPr="005F2140">
                                <w:trPr>
                                  <w:jc w:val="center"/>
                                </w:trPr>
                                <w:tc>
                                  <w:tcPr>
                                    <w:tcW w:w="0" w:type="auto"/>
                                    <w:tcMar>
                                      <w:top w:w="90" w:type="dxa"/>
                                      <w:left w:w="0" w:type="dxa"/>
                                      <w:bottom w:w="90" w:type="dxa"/>
                                      <w:right w:w="0" w:type="dxa"/>
                                    </w:tcMar>
                                    <w:vAlign w:val="center"/>
                                    <w:hideMark/>
                                  </w:tcPr>
                                  <w:p w:rsidR="005F2140" w:rsidRPr="005F2140" w:rsidRDefault="005F2140" w:rsidP="005F2140">
                                    <w:pPr>
                                      <w:spacing w:after="0" w:line="300" w:lineRule="atLeast"/>
                                      <w:rPr>
                                        <w:rFonts w:ascii="Arial" w:eastAsia="Times New Roman" w:hAnsi="Arial" w:cs="Arial"/>
                                        <w:color w:val="273F69"/>
                                        <w:kern w:val="0"/>
                                        <w:sz w:val="24"/>
                                        <w:szCs w:val="24"/>
                                        <w14:ligatures w14:val="none"/>
                                      </w:rPr>
                                    </w:pPr>
                                    <w:r w:rsidRPr="005F2140">
                                      <w:rPr>
                                        <w:rFonts w:ascii="Arial" w:eastAsia="Times New Roman" w:hAnsi="Arial" w:cs="Arial"/>
                                        <w:color w:val="273F69"/>
                                        <w:kern w:val="0"/>
                                        <w:sz w:val="24"/>
                                        <w:szCs w:val="24"/>
                                        <w14:ligatures w14:val="none"/>
                                      </w:rPr>
                                      <w:t>Attendees will experience a highly interactive agenda. Topics will address:</w:t>
                                    </w:r>
                                  </w:p>
                                </w:tc>
                              </w:tr>
                              <w:tr w:rsidR="005F2140" w:rsidRPr="005F2140">
                                <w:trPr>
                                  <w:jc w:val="center"/>
                                </w:trPr>
                                <w:tc>
                                  <w:tcPr>
                                    <w:tcW w:w="0" w:type="auto"/>
                                    <w:tcMar>
                                      <w:top w:w="90" w:type="dxa"/>
                                      <w:left w:w="0" w:type="dxa"/>
                                      <w:bottom w:w="90" w:type="dxa"/>
                                      <w:right w:w="0" w:type="dxa"/>
                                    </w:tcMar>
                                    <w:vAlign w:val="center"/>
                                    <w:hideMark/>
                                  </w:tcPr>
                                  <w:p w:rsidR="005F2140" w:rsidRPr="005F2140" w:rsidRDefault="005F2140" w:rsidP="005F2140">
                                    <w:pPr>
                                      <w:numPr>
                                        <w:ilvl w:val="0"/>
                                        <w:numId w:val="2"/>
                                      </w:numPr>
                                      <w:spacing w:before="100" w:beforeAutospacing="1" w:after="100" w:afterAutospacing="1" w:line="300" w:lineRule="atLeast"/>
                                      <w:rPr>
                                        <w:rFonts w:ascii="Arial" w:eastAsia="Times New Roman" w:hAnsi="Arial" w:cs="Arial"/>
                                        <w:color w:val="273F69"/>
                                        <w:kern w:val="0"/>
                                        <w:sz w:val="24"/>
                                        <w:szCs w:val="24"/>
                                        <w14:ligatures w14:val="none"/>
                                      </w:rPr>
                                    </w:pPr>
                                    <w:r w:rsidRPr="005F2140">
                                      <w:rPr>
                                        <w:rFonts w:ascii="Arial" w:eastAsia="Times New Roman" w:hAnsi="Arial" w:cs="Arial"/>
                                        <w:color w:val="273F69"/>
                                        <w:kern w:val="0"/>
                                        <w:sz w:val="24"/>
                                        <w:szCs w:val="24"/>
                                        <w14:ligatures w14:val="none"/>
                                      </w:rPr>
                                      <w:lastRenderedPageBreak/>
                                      <w:t>Techniques to reach the new Generation of Learners</w:t>
                                    </w:r>
                                  </w:p>
                                  <w:p w:rsidR="005F2140" w:rsidRPr="005F2140" w:rsidRDefault="005F2140" w:rsidP="005F2140">
                                    <w:pPr>
                                      <w:numPr>
                                        <w:ilvl w:val="0"/>
                                        <w:numId w:val="2"/>
                                      </w:numPr>
                                      <w:spacing w:before="100" w:beforeAutospacing="1" w:after="100" w:afterAutospacing="1" w:line="300" w:lineRule="atLeast"/>
                                      <w:rPr>
                                        <w:rFonts w:ascii="Arial" w:eastAsia="Times New Roman" w:hAnsi="Arial" w:cs="Arial"/>
                                        <w:color w:val="273F69"/>
                                        <w:kern w:val="0"/>
                                        <w:sz w:val="24"/>
                                        <w:szCs w:val="24"/>
                                        <w14:ligatures w14:val="none"/>
                                      </w:rPr>
                                    </w:pPr>
                                    <w:r w:rsidRPr="005F2140">
                                      <w:rPr>
                                        <w:rFonts w:ascii="Arial" w:eastAsia="Times New Roman" w:hAnsi="Arial" w:cs="Arial"/>
                                        <w:color w:val="273F69"/>
                                        <w:kern w:val="0"/>
                                        <w:sz w:val="24"/>
                                        <w:szCs w:val="24"/>
                                        <w14:ligatures w14:val="none"/>
                                      </w:rPr>
                                      <w:t>Funding the Program (Perkins Grants)</w:t>
                                    </w:r>
                                  </w:p>
                                  <w:p w:rsidR="005F2140" w:rsidRPr="005F2140" w:rsidRDefault="005F2140" w:rsidP="005F2140">
                                    <w:pPr>
                                      <w:numPr>
                                        <w:ilvl w:val="0"/>
                                        <w:numId w:val="2"/>
                                      </w:numPr>
                                      <w:spacing w:before="100" w:beforeAutospacing="1" w:after="100" w:afterAutospacing="1" w:line="300" w:lineRule="atLeast"/>
                                      <w:rPr>
                                        <w:rFonts w:ascii="Arial" w:eastAsia="Times New Roman" w:hAnsi="Arial" w:cs="Arial"/>
                                        <w:color w:val="273F69"/>
                                        <w:kern w:val="0"/>
                                        <w:sz w:val="24"/>
                                        <w:szCs w:val="24"/>
                                        <w14:ligatures w14:val="none"/>
                                      </w:rPr>
                                    </w:pPr>
                                    <w:r w:rsidRPr="005F2140">
                                      <w:rPr>
                                        <w:rFonts w:ascii="Arial" w:eastAsia="Times New Roman" w:hAnsi="Arial" w:cs="Arial"/>
                                        <w:color w:val="273F69"/>
                                        <w:kern w:val="0"/>
                                        <w:sz w:val="24"/>
                                        <w:szCs w:val="24"/>
                                        <w14:ligatures w14:val="none"/>
                                      </w:rPr>
                                      <w:t>Building the Program from the Start</w:t>
                                    </w:r>
                                  </w:p>
                                  <w:p w:rsidR="005F2140" w:rsidRPr="005F2140" w:rsidRDefault="005F2140" w:rsidP="005F2140">
                                    <w:pPr>
                                      <w:numPr>
                                        <w:ilvl w:val="0"/>
                                        <w:numId w:val="2"/>
                                      </w:numPr>
                                      <w:spacing w:before="100" w:beforeAutospacing="1" w:after="100" w:afterAutospacing="1" w:line="300" w:lineRule="atLeast"/>
                                      <w:rPr>
                                        <w:rFonts w:ascii="Arial" w:eastAsia="Times New Roman" w:hAnsi="Arial" w:cs="Arial"/>
                                        <w:color w:val="273F69"/>
                                        <w:kern w:val="0"/>
                                        <w:sz w:val="24"/>
                                        <w:szCs w:val="24"/>
                                        <w14:ligatures w14:val="none"/>
                                      </w:rPr>
                                    </w:pPr>
                                    <w:r w:rsidRPr="005F2140">
                                      <w:rPr>
                                        <w:rFonts w:ascii="Arial" w:eastAsia="Times New Roman" w:hAnsi="Arial" w:cs="Arial"/>
                                        <w:color w:val="273F69"/>
                                        <w:kern w:val="0"/>
                                        <w:sz w:val="24"/>
                                        <w:szCs w:val="24"/>
                                        <w14:ligatures w14:val="none"/>
                                      </w:rPr>
                                      <w:t>Mentorship Program with Pflugerville Fire Department</w:t>
                                    </w:r>
                                  </w:p>
                                  <w:p w:rsidR="005F2140" w:rsidRPr="005F2140" w:rsidRDefault="005F2140" w:rsidP="005F2140">
                                    <w:pPr>
                                      <w:numPr>
                                        <w:ilvl w:val="0"/>
                                        <w:numId w:val="2"/>
                                      </w:numPr>
                                      <w:spacing w:before="100" w:beforeAutospacing="1" w:after="100" w:afterAutospacing="1" w:line="300" w:lineRule="atLeast"/>
                                      <w:rPr>
                                        <w:rFonts w:ascii="Arial" w:eastAsia="Times New Roman" w:hAnsi="Arial" w:cs="Arial"/>
                                        <w:color w:val="273F69"/>
                                        <w:kern w:val="0"/>
                                        <w:sz w:val="24"/>
                                        <w:szCs w:val="24"/>
                                        <w14:ligatures w14:val="none"/>
                                      </w:rPr>
                                    </w:pPr>
                                    <w:r w:rsidRPr="005F2140">
                                      <w:rPr>
                                        <w:rFonts w:ascii="Arial" w:eastAsia="Times New Roman" w:hAnsi="Arial" w:cs="Arial"/>
                                        <w:color w:val="273F69"/>
                                        <w:kern w:val="0"/>
                                        <w:sz w:val="24"/>
                                        <w:szCs w:val="24"/>
                                        <w14:ligatures w14:val="none"/>
                                      </w:rPr>
                                      <w:t>Program Structure and Scheduling</w:t>
                                    </w:r>
                                  </w:p>
                                  <w:p w:rsidR="005F2140" w:rsidRPr="005F2140" w:rsidRDefault="005F2140" w:rsidP="005F2140">
                                    <w:pPr>
                                      <w:numPr>
                                        <w:ilvl w:val="0"/>
                                        <w:numId w:val="2"/>
                                      </w:numPr>
                                      <w:spacing w:before="100" w:beforeAutospacing="1" w:after="100" w:afterAutospacing="1" w:line="300" w:lineRule="atLeast"/>
                                      <w:rPr>
                                        <w:rFonts w:ascii="Arial" w:eastAsia="Times New Roman" w:hAnsi="Arial" w:cs="Arial"/>
                                        <w:color w:val="273F69"/>
                                        <w:kern w:val="0"/>
                                        <w:sz w:val="24"/>
                                        <w:szCs w:val="24"/>
                                        <w14:ligatures w14:val="none"/>
                                      </w:rPr>
                                    </w:pPr>
                                    <w:r w:rsidRPr="005F2140">
                                      <w:rPr>
                                        <w:rFonts w:ascii="Arial" w:eastAsia="Times New Roman" w:hAnsi="Arial" w:cs="Arial"/>
                                        <w:color w:val="273F69"/>
                                        <w:kern w:val="0"/>
                                        <w:sz w:val="24"/>
                                        <w:szCs w:val="24"/>
                                        <w14:ligatures w14:val="none"/>
                                      </w:rPr>
                                      <w:t>Preparation for State Exams</w:t>
                                    </w:r>
                                  </w:p>
                                  <w:p w:rsidR="005F2140" w:rsidRPr="005F2140" w:rsidRDefault="005F2140" w:rsidP="005F2140">
                                    <w:pPr>
                                      <w:numPr>
                                        <w:ilvl w:val="0"/>
                                        <w:numId w:val="2"/>
                                      </w:numPr>
                                      <w:spacing w:before="100" w:beforeAutospacing="1" w:after="100" w:afterAutospacing="1" w:line="300" w:lineRule="atLeast"/>
                                      <w:rPr>
                                        <w:rFonts w:ascii="Arial" w:eastAsia="Times New Roman" w:hAnsi="Arial" w:cs="Arial"/>
                                        <w:color w:val="273F69"/>
                                        <w:kern w:val="0"/>
                                        <w:sz w:val="24"/>
                                        <w:szCs w:val="24"/>
                                        <w14:ligatures w14:val="none"/>
                                      </w:rPr>
                                    </w:pPr>
                                    <w:r w:rsidRPr="005F2140">
                                      <w:rPr>
                                        <w:rFonts w:ascii="Arial" w:eastAsia="Times New Roman" w:hAnsi="Arial" w:cs="Arial"/>
                                        <w:color w:val="273F69"/>
                                        <w:kern w:val="0"/>
                                        <w:sz w:val="24"/>
                                        <w:szCs w:val="24"/>
                                        <w14:ligatures w14:val="none"/>
                                      </w:rPr>
                                      <w:t>Managing your Budget</w:t>
                                    </w:r>
                                  </w:p>
                                  <w:p w:rsidR="005F2140" w:rsidRPr="005F2140" w:rsidRDefault="005F2140" w:rsidP="005F2140">
                                    <w:pPr>
                                      <w:numPr>
                                        <w:ilvl w:val="0"/>
                                        <w:numId w:val="2"/>
                                      </w:numPr>
                                      <w:spacing w:before="100" w:beforeAutospacing="1" w:after="100" w:afterAutospacing="1" w:line="300" w:lineRule="atLeast"/>
                                      <w:rPr>
                                        <w:rFonts w:ascii="Arial" w:eastAsia="Times New Roman" w:hAnsi="Arial" w:cs="Arial"/>
                                        <w:color w:val="273F69"/>
                                        <w:kern w:val="0"/>
                                        <w:sz w:val="24"/>
                                        <w:szCs w:val="24"/>
                                        <w14:ligatures w14:val="none"/>
                                      </w:rPr>
                                    </w:pPr>
                                    <w:r w:rsidRPr="005F2140">
                                      <w:rPr>
                                        <w:rFonts w:ascii="Arial" w:eastAsia="Times New Roman" w:hAnsi="Arial" w:cs="Arial"/>
                                        <w:color w:val="273F69"/>
                                        <w:kern w:val="0"/>
                                        <w:sz w:val="24"/>
                                        <w:szCs w:val="24"/>
                                        <w14:ligatures w14:val="none"/>
                                      </w:rPr>
                                      <w:t>NFFF Training Resources</w:t>
                                    </w:r>
                                  </w:p>
                                </w:tc>
                              </w:tr>
                            </w:tbl>
                            <w:p w:rsidR="005F2140" w:rsidRPr="005F2140" w:rsidRDefault="005F2140" w:rsidP="005F2140">
                              <w:pPr>
                                <w:spacing w:after="0" w:line="300" w:lineRule="atLeast"/>
                                <w:jc w:val="center"/>
                                <w:rPr>
                                  <w:rFonts w:ascii="Arial" w:eastAsia="Times New Roman" w:hAnsi="Arial" w:cs="Arial"/>
                                  <w:color w:val="273F69"/>
                                  <w:kern w:val="0"/>
                                  <w:sz w:val="24"/>
                                  <w:szCs w:val="24"/>
                                  <w14:ligatures w14:val="none"/>
                                </w:rPr>
                              </w:pPr>
                            </w:p>
                          </w:tc>
                        </w:tr>
                      </w:tbl>
                      <w:p w:rsidR="005F2140" w:rsidRPr="005F2140" w:rsidRDefault="005F2140" w:rsidP="005F2140">
                        <w:pPr>
                          <w:spacing w:after="0" w:line="240" w:lineRule="auto"/>
                          <w:rPr>
                            <w:rFonts w:ascii="Times New Roman" w:eastAsia="Times New Roman" w:hAnsi="Times New Roman" w:cs="Times New Roman"/>
                            <w:kern w:val="0"/>
                            <w:sz w:val="24"/>
                            <w:szCs w:val="24"/>
                            <w14:ligatures w14:val="none"/>
                          </w:rPr>
                        </w:pPr>
                      </w:p>
                    </w:tc>
                  </w:tr>
                </w:tbl>
                <w:p w:rsidR="005F2140" w:rsidRPr="005F2140" w:rsidRDefault="005F2140" w:rsidP="005F2140">
                  <w:pPr>
                    <w:spacing w:after="0" w:line="240" w:lineRule="auto"/>
                    <w:rPr>
                      <w:rFonts w:ascii="Times New Roman" w:eastAsia="Times New Roman" w:hAnsi="Times New Roman" w:cs="Times New Roman"/>
                      <w:kern w:val="0"/>
                      <w:sz w:val="24"/>
                      <w:szCs w:val="24"/>
                      <w14:ligatures w14:val="none"/>
                    </w:rPr>
                  </w:pPr>
                </w:p>
              </w:tc>
            </w:tr>
          </w:tbl>
          <w:p w:rsidR="005F2140" w:rsidRPr="005F2140" w:rsidRDefault="005F2140" w:rsidP="005F2140">
            <w:pPr>
              <w:spacing w:after="0" w:line="240" w:lineRule="auto"/>
              <w:rPr>
                <w:rFonts w:ascii="Times New Roman" w:eastAsia="Times New Roman" w:hAnsi="Times New Roman" w:cs="Times New Roman"/>
                <w:kern w:val="0"/>
                <w:sz w:val="24"/>
                <w:szCs w:val="24"/>
                <w14:ligatures w14:val="none"/>
              </w:rPr>
            </w:pPr>
          </w:p>
        </w:tc>
      </w:tr>
      <w:tr w:rsidR="005F2140" w:rsidRPr="005F2140" w:rsidTr="005F2140">
        <w:trPr>
          <w:jc w:val="center"/>
        </w:trPr>
        <w:tc>
          <w:tcPr>
            <w:tcW w:w="0" w:type="auto"/>
            <w:shd w:val="clear" w:color="auto" w:fill="DDE2E6"/>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F2140" w:rsidRPr="005F2140">
              <w:tc>
                <w:tcPr>
                  <w:tcW w:w="0" w:type="auto"/>
                  <w:vAlign w:val="center"/>
                  <w:hideMark/>
                </w:tcPr>
                <w:tbl>
                  <w:tblPr>
                    <w:tblW w:w="5000" w:type="pct"/>
                    <w:tblCellMar>
                      <w:left w:w="0" w:type="dxa"/>
                      <w:right w:w="0" w:type="dxa"/>
                    </w:tblCellMar>
                    <w:tblLook w:val="04A0" w:firstRow="1" w:lastRow="0" w:firstColumn="1" w:lastColumn="0" w:noHBand="0" w:noVBand="1"/>
                  </w:tblPr>
                  <w:tblGrid>
                    <w:gridCol w:w="9360"/>
                  </w:tblGrid>
                  <w:tr w:rsidR="005F2140" w:rsidRPr="005F2140">
                    <w:tc>
                      <w:tcPr>
                        <w:tcW w:w="0" w:type="auto"/>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8910"/>
                        </w:tblGrid>
                        <w:tr w:rsidR="005F2140" w:rsidRPr="005F2140">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910"/>
                              </w:tblGrid>
                              <w:tr w:rsidR="005F2140" w:rsidRPr="005F2140">
                                <w:trPr>
                                  <w:jc w:val="center"/>
                                </w:trPr>
                                <w:tc>
                                  <w:tcPr>
                                    <w:tcW w:w="0" w:type="auto"/>
                                    <w:tcMar>
                                      <w:top w:w="90" w:type="dxa"/>
                                      <w:left w:w="0" w:type="dxa"/>
                                      <w:bottom w:w="90" w:type="dxa"/>
                                      <w:right w:w="0" w:type="dxa"/>
                                    </w:tcMar>
                                    <w:vAlign w:val="center"/>
                                    <w:hideMark/>
                                  </w:tcPr>
                                  <w:p w:rsidR="005F2140" w:rsidRPr="005F2140" w:rsidRDefault="005F2140" w:rsidP="005F2140">
                                    <w:pPr>
                                      <w:spacing w:after="0" w:line="300" w:lineRule="atLeast"/>
                                      <w:rPr>
                                        <w:rFonts w:ascii="Arial" w:eastAsia="Times New Roman" w:hAnsi="Arial" w:cs="Arial"/>
                                        <w:color w:val="273F69"/>
                                        <w:kern w:val="0"/>
                                        <w:sz w:val="24"/>
                                        <w:szCs w:val="24"/>
                                        <w14:ligatures w14:val="none"/>
                                      </w:rPr>
                                    </w:pPr>
                                    <w:r w:rsidRPr="005F2140">
                                      <w:rPr>
                                        <w:rFonts w:ascii="Arial" w:eastAsia="Times New Roman" w:hAnsi="Arial" w:cs="Arial"/>
                                        <w:b/>
                                        <w:bCs/>
                                        <w:color w:val="273F69"/>
                                        <w:kern w:val="0"/>
                                        <w:sz w:val="24"/>
                                        <w:szCs w:val="24"/>
                                        <w14:ligatures w14:val="none"/>
                                      </w:rPr>
                                      <w:lastRenderedPageBreak/>
                                      <w:t xml:space="preserve">Please join us and secure your spot by </w:t>
                                    </w:r>
                                    <w:hyperlink r:id="rId7" w:history="1">
                                      <w:r w:rsidRPr="005F2140">
                                        <w:rPr>
                                          <w:rStyle w:val="Hyperlink"/>
                                          <w:rFonts w:ascii="Arial" w:eastAsia="Times New Roman" w:hAnsi="Arial" w:cs="Arial"/>
                                          <w:b/>
                                          <w:bCs/>
                                          <w:kern w:val="0"/>
                                          <w:sz w:val="24"/>
                                          <w:szCs w:val="24"/>
                                          <w14:ligatures w14:val="none"/>
                                        </w:rPr>
                                        <w:t>registering today</w:t>
                                      </w:r>
                                    </w:hyperlink>
                                    <w:r w:rsidRPr="005F2140">
                                      <w:rPr>
                                        <w:rFonts w:ascii="Arial" w:eastAsia="Times New Roman" w:hAnsi="Arial" w:cs="Arial"/>
                                        <w:b/>
                                        <w:bCs/>
                                        <w:color w:val="273F69"/>
                                        <w:kern w:val="0"/>
                                        <w:sz w:val="24"/>
                                        <w:szCs w:val="24"/>
                                        <w14:ligatures w14:val="none"/>
                                      </w:rPr>
                                      <w:t>!</w:t>
                                    </w:r>
                                  </w:p>
                                </w:tc>
                              </w:tr>
                              <w:tr w:rsidR="005F2140" w:rsidRPr="005F2140">
                                <w:trPr>
                                  <w:jc w:val="center"/>
                                </w:trPr>
                                <w:tc>
                                  <w:tcPr>
                                    <w:tcW w:w="0" w:type="auto"/>
                                    <w:tcMar>
                                      <w:top w:w="90" w:type="dxa"/>
                                      <w:left w:w="0" w:type="dxa"/>
                                      <w:bottom w:w="90" w:type="dxa"/>
                                      <w:right w:w="0" w:type="dxa"/>
                                    </w:tcMar>
                                    <w:vAlign w:val="center"/>
                                    <w:hideMark/>
                                  </w:tcPr>
                                  <w:p w:rsidR="005F2140" w:rsidRPr="005F2140" w:rsidRDefault="005F2140" w:rsidP="005F2140">
                                    <w:pPr>
                                      <w:spacing w:after="0" w:line="300" w:lineRule="atLeast"/>
                                      <w:rPr>
                                        <w:rFonts w:ascii="Arial" w:eastAsia="Times New Roman" w:hAnsi="Arial" w:cs="Arial"/>
                                        <w:color w:val="273F69"/>
                                        <w:kern w:val="0"/>
                                        <w:sz w:val="24"/>
                                        <w:szCs w:val="24"/>
                                        <w14:ligatures w14:val="none"/>
                                      </w:rPr>
                                    </w:pPr>
                                    <w:r w:rsidRPr="005F2140">
                                      <w:rPr>
                                        <w:rFonts w:ascii="Arial" w:eastAsia="Times New Roman" w:hAnsi="Arial" w:cs="Arial"/>
                                        <w:color w:val="273F69"/>
                                        <w:kern w:val="0"/>
                                        <w:sz w:val="24"/>
                                        <w:szCs w:val="24"/>
                                        <w14:ligatures w14:val="none"/>
                                      </w:rPr>
                                      <w:t> </w:t>
                                    </w:r>
                                  </w:p>
                                </w:tc>
                              </w:tr>
                              <w:tr w:rsidR="005F2140" w:rsidRPr="005F2140">
                                <w:trPr>
                                  <w:jc w:val="center"/>
                                </w:trPr>
                                <w:tc>
                                  <w:tcPr>
                                    <w:tcW w:w="0" w:type="auto"/>
                                    <w:tcMar>
                                      <w:top w:w="90" w:type="dxa"/>
                                      <w:left w:w="0" w:type="dxa"/>
                                      <w:bottom w:w="90" w:type="dxa"/>
                                      <w:right w:w="0" w:type="dxa"/>
                                    </w:tcMar>
                                    <w:vAlign w:val="center"/>
                                    <w:hideMark/>
                                  </w:tcPr>
                                  <w:p w:rsidR="005F2140" w:rsidRPr="005F2140" w:rsidRDefault="005F2140" w:rsidP="005F2140">
                                    <w:pPr>
                                      <w:spacing w:after="0" w:line="300" w:lineRule="atLeast"/>
                                      <w:jc w:val="center"/>
                                      <w:rPr>
                                        <w:rFonts w:ascii="Arial" w:eastAsia="Times New Roman" w:hAnsi="Arial" w:cs="Arial"/>
                                        <w:color w:val="273F69"/>
                                        <w:kern w:val="0"/>
                                        <w:sz w:val="24"/>
                                        <w:szCs w:val="24"/>
                                        <w14:ligatures w14:val="none"/>
                                      </w:rPr>
                                    </w:pPr>
                                    <w:r w:rsidRPr="005F2140">
                                      <w:rPr>
                                        <w:rFonts w:ascii="Arial" w:eastAsia="Times New Roman" w:hAnsi="Arial" w:cs="Arial"/>
                                        <w:i/>
                                        <w:iCs/>
                                        <w:color w:val="273F69"/>
                                        <w:kern w:val="0"/>
                                        <w:sz w:val="24"/>
                                        <w:szCs w:val="24"/>
                                        <w14:ligatures w14:val="none"/>
                                      </w:rPr>
                                      <w:t>Funding for this program has been provided through</w:t>
                                    </w:r>
                                  </w:p>
                                </w:tc>
                              </w:tr>
                              <w:tr w:rsidR="005F2140" w:rsidRPr="005F2140">
                                <w:trPr>
                                  <w:jc w:val="center"/>
                                </w:trPr>
                                <w:tc>
                                  <w:tcPr>
                                    <w:tcW w:w="0" w:type="auto"/>
                                    <w:tcMar>
                                      <w:top w:w="90" w:type="dxa"/>
                                      <w:left w:w="0" w:type="dxa"/>
                                      <w:bottom w:w="90" w:type="dxa"/>
                                      <w:right w:w="0" w:type="dxa"/>
                                    </w:tcMar>
                                    <w:vAlign w:val="center"/>
                                    <w:hideMark/>
                                  </w:tcPr>
                                  <w:p w:rsidR="005F2140" w:rsidRPr="005F2140" w:rsidRDefault="005F2140" w:rsidP="005F2140">
                                    <w:pPr>
                                      <w:spacing w:after="0" w:line="300" w:lineRule="atLeast"/>
                                      <w:jc w:val="center"/>
                                      <w:rPr>
                                        <w:rFonts w:ascii="Arial" w:eastAsia="Times New Roman" w:hAnsi="Arial" w:cs="Arial"/>
                                        <w:color w:val="273F69"/>
                                        <w:kern w:val="0"/>
                                        <w:sz w:val="24"/>
                                        <w:szCs w:val="24"/>
                                        <w14:ligatures w14:val="none"/>
                                      </w:rPr>
                                    </w:pPr>
                                    <w:r w:rsidRPr="005F2140">
                                      <w:rPr>
                                        <w:rFonts w:ascii="Arial" w:eastAsia="Times New Roman" w:hAnsi="Arial" w:cs="Arial"/>
                                        <w:i/>
                                        <w:iCs/>
                                        <w:color w:val="273F69"/>
                                        <w:kern w:val="0"/>
                                        <w:sz w:val="24"/>
                                        <w:szCs w:val="24"/>
                                        <w14:ligatures w14:val="none"/>
                                      </w:rPr>
                                      <w:t>FEMA’s Grant Program Directorate for Assistance to Firefighters Grant Program – Fire Prevention and Safety Grants</w:t>
                                    </w:r>
                                  </w:p>
                                </w:tc>
                              </w:tr>
                            </w:tbl>
                            <w:p w:rsidR="005F2140" w:rsidRPr="005F2140" w:rsidRDefault="005F2140" w:rsidP="005F2140">
                              <w:pPr>
                                <w:spacing w:after="0" w:line="300" w:lineRule="atLeast"/>
                                <w:jc w:val="center"/>
                                <w:rPr>
                                  <w:rFonts w:ascii="Arial" w:eastAsia="Times New Roman" w:hAnsi="Arial" w:cs="Arial"/>
                                  <w:color w:val="273F69"/>
                                  <w:kern w:val="0"/>
                                  <w:sz w:val="24"/>
                                  <w:szCs w:val="24"/>
                                  <w14:ligatures w14:val="none"/>
                                </w:rPr>
                              </w:pPr>
                            </w:p>
                          </w:tc>
                        </w:tr>
                      </w:tbl>
                      <w:p w:rsidR="005F2140" w:rsidRPr="005F2140" w:rsidRDefault="005F2140" w:rsidP="005F2140">
                        <w:pPr>
                          <w:spacing w:after="0" w:line="240" w:lineRule="auto"/>
                          <w:rPr>
                            <w:rFonts w:ascii="Times New Roman" w:eastAsia="Times New Roman" w:hAnsi="Times New Roman" w:cs="Times New Roman"/>
                            <w:kern w:val="0"/>
                            <w:sz w:val="24"/>
                            <w:szCs w:val="24"/>
                            <w14:ligatures w14:val="none"/>
                          </w:rPr>
                        </w:pPr>
                      </w:p>
                    </w:tc>
                  </w:tr>
                </w:tbl>
                <w:p w:rsidR="005F2140" w:rsidRPr="005F2140" w:rsidRDefault="005F2140" w:rsidP="005F2140">
                  <w:pPr>
                    <w:spacing w:after="0" w:line="240" w:lineRule="auto"/>
                    <w:rPr>
                      <w:rFonts w:ascii="Times New Roman" w:eastAsia="Times New Roman" w:hAnsi="Times New Roman" w:cs="Times New Roman"/>
                      <w:kern w:val="0"/>
                      <w:sz w:val="24"/>
                      <w:szCs w:val="24"/>
                      <w14:ligatures w14:val="none"/>
                    </w:rPr>
                  </w:pPr>
                </w:p>
              </w:tc>
            </w:tr>
          </w:tbl>
          <w:p w:rsidR="005F2140" w:rsidRPr="005F2140" w:rsidRDefault="005F2140" w:rsidP="005F2140">
            <w:pPr>
              <w:spacing w:after="0" w:line="240" w:lineRule="auto"/>
              <w:rPr>
                <w:rFonts w:ascii="Times New Roman" w:eastAsia="Times New Roman" w:hAnsi="Times New Roman" w:cs="Times New Roman"/>
                <w:kern w:val="0"/>
                <w:sz w:val="24"/>
                <w:szCs w:val="24"/>
                <w14:ligatures w14:val="none"/>
              </w:rPr>
            </w:pPr>
          </w:p>
        </w:tc>
      </w:tr>
    </w:tbl>
    <w:p w:rsidR="005F2140" w:rsidRDefault="005F2140">
      <w:r>
        <w:rPr>
          <w:noProof/>
        </w:rPr>
        <w:drawing>
          <wp:inline distT="0" distB="0" distL="0" distR="0" wp14:anchorId="19DB707E" wp14:editId="03756C52">
            <wp:extent cx="5715000" cy="2857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sectPr w:rsidR="005F2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852A4"/>
    <w:multiLevelType w:val="multilevel"/>
    <w:tmpl w:val="321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DA21F4"/>
    <w:multiLevelType w:val="multilevel"/>
    <w:tmpl w:val="A7DA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476256">
    <w:abstractNumId w:val="1"/>
  </w:num>
  <w:num w:numId="2" w16cid:durableId="80886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7B"/>
    <w:rsid w:val="003A5EB8"/>
    <w:rsid w:val="00514F08"/>
    <w:rsid w:val="005C2C7B"/>
    <w:rsid w:val="005F2140"/>
    <w:rsid w:val="00C8150E"/>
    <w:rsid w:val="00D9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FFD7"/>
  <w15:chartTrackingRefBased/>
  <w15:docId w15:val="{35A07149-FA6E-4D37-A69E-D1D8B53A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140"/>
    <w:rPr>
      <w:color w:val="0563C1" w:themeColor="hyperlink"/>
      <w:u w:val="single"/>
    </w:rPr>
  </w:style>
  <w:style w:type="character" w:styleId="UnresolvedMention">
    <w:name w:val="Unresolved Mention"/>
    <w:basedOn w:val="DefaultParagraphFont"/>
    <w:uiPriority w:val="99"/>
    <w:semiHidden/>
    <w:unhideWhenUsed/>
    <w:rsid w:val="005F2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cvent.me/db7vG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ent.me/93oPY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McGuire</dc:creator>
  <cp:keywords/>
  <dc:description/>
  <cp:lastModifiedBy>Caitlin McGuire</cp:lastModifiedBy>
  <cp:revision>2</cp:revision>
  <dcterms:created xsi:type="dcterms:W3CDTF">2023-05-11T18:33:00Z</dcterms:created>
  <dcterms:modified xsi:type="dcterms:W3CDTF">2023-05-11T18:35:00Z</dcterms:modified>
</cp:coreProperties>
</file>